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项目名称：连云港师范学院校园保安服务项目（专门面向中小企业）</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JSZC-320700-JSWD-G2026-0041</w:t>
      </w:r>
      <w:r>
        <w:rPr>
          <w:rFonts w:ascii="SimSun" w:hAnsi="SimSun" w:eastAsia="SimSun" w:cs="SimSun"/>
          <w:b/>
          <w:color w:val="000000"/>
          <w:sz w:val="32"/>
        </w:rPr>
        <w:tab/>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江苏万达工程造价事务所有限公司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目录</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  投标邀请</w:t>
      </w:r>
      <w:r>
        <w:rPr>
          <w:rFonts w:ascii="Calibri" w:hAnsi="Calibri" w:eastAsia="Calibri" w:cs="Calibri"/>
          <w:color w:val="000000"/>
          <w:sz w:val="32"/>
        </w:rPr>
        <w:tab/>
        <w:t xml:space="preserve">1</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  投标人须知</w:t>
      </w:r>
      <w:r>
        <w:rPr>
          <w:rFonts w:ascii="Calibri" w:hAnsi="Calibri" w:eastAsia="Calibri" w:cs="Calibri"/>
          <w:color w:val="000000"/>
          <w:sz w:val="32"/>
        </w:rPr>
        <w:tab/>
        <w:t xml:space="preserve">4</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  合同文本</w:t>
      </w:r>
      <w:r>
        <w:rPr>
          <w:rFonts w:ascii="Calibri" w:hAnsi="Calibri" w:eastAsia="Calibri" w:cs="Calibri"/>
          <w:color w:val="000000"/>
          <w:sz w:val="32"/>
        </w:rPr>
        <w:tab/>
        <w:t xml:space="preserve">23</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  采购需求</w:t>
      </w:r>
      <w:r>
        <w:rPr>
          <w:rFonts w:ascii="Calibri" w:hAnsi="Calibri" w:eastAsia="Calibri" w:cs="Calibri"/>
          <w:color w:val="000000"/>
          <w:sz w:val="32"/>
        </w:rPr>
        <w:tab/>
        <w:t xml:space="preserve">28</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评标方法与评标标准</w:t>
      </w:r>
      <w:r>
        <w:rPr>
          <w:rFonts w:ascii="Calibri" w:hAnsi="Calibri" w:eastAsia="Calibri" w:cs="Calibri"/>
          <w:color w:val="000000"/>
          <w:sz w:val="32"/>
        </w:rPr>
        <w:tab/>
        <w:t xml:space="preserve">41</w:t>
      </w:r>
      <w:r/>
    </w:p>
    <w:p>
      <w:pPr>
        <w:ind w:left="0" w:right="0" w:firstLine="0"/>
        <w:spacing w:before="240" w:after="24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  投标文件格式</w:t>
      </w:r>
      <w:r>
        <w:rPr>
          <w:rFonts w:ascii="Calibri" w:hAnsi="Calibri" w:eastAsia="Calibri" w:cs="Calibri"/>
          <w:color w:val="000000"/>
          <w:sz w:val="32"/>
        </w:rPr>
        <w:tab/>
        <w:t xml:space="preserve">45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受连云港师范学院的委托，江苏万达工程造价事务所有限公司就连云港师范学院校园保安服务项目（专门面向中小企业）项目（JSZC-320700-JSWD-G2026-0041）进行公开招标采购，欢迎符合条件的供应商投标。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连云港师范学院校园保安服务项目（专门面向中小企业）招标项目的潜在投标人应在江苏政府采购网自行免费下载招标文件，并于2026年9月24日09:00:00（北京时间）前递交（上传）投标文件。</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项目编号：JSZC-320700-JSWD-G2026-0041</w:t>
        <w:tab/>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项目名称：连云港师范学院校园保安服务项目（专门面向中小企业）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预算金额：人民币378万元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采购需求：连云港师范学院占地近</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亩，现有师生员工近</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名。学校保安服务工作主要包括门卫、重点场所守护、校园巡逻、学校大型活动与会务工作的安全保障，校内临时性的应急处置工作，并做好校内防火、防盗、防破坏、防事故等安全工作，配合相关部门打击校园内部与周边的违法犯罪活动以及校方布置的其他工作，具体要求详见第四部分项目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合同履行期限：两年（自合同约定日起）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（根据连财购〔2023〕4号文件精神，2、3项可以提供《财务状况报告及税收、社会保障资金缴纳情况承诺函》，详见第六章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color w:val="000000"/>
          <w:sz w:val="24"/>
        </w:rPr>
        <w:t xml:space="preserve">投标人具有公安部门颁发的《保安服务许可证》。（投标文件中提供有效期内的证书复印件或电子件或扫描件并加盖公章，否则投标无效）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方式：投标人办理江苏省政府采购交易系统CA数字证书，登录“苏采云”政府采购交易系统，自行下载。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提交投标文件截止时间：2026年9月24日09:00:00（北京时间）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本招标文件中标注★的款项为实质性要求和条件，由采购人根据实际情况设置，投标人须逐条明确作出满足实质性要求和条件的响应，否则将按无效响应处理。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名称：连云港师范学院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地址：连云港市海州区圣湖路28号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人：李老师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联系电话：15261310856</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地址：连云港市海州区朝阳东路36号凤凰大厦19层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联系方式：孙渝博13775440222</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项目联系人：李老师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话：15261310856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一、总则</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符合上述条件的投标人应承担投标及履约过程应承担的全部责任与义务。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 </w:t>
      </w:r>
      <w:r>
        <w:rPr>
          <w:rFonts w:ascii="SimSun" w:hAnsi="SimSun" w:eastAsia="SimSun" w:cs="SimSun"/>
          <w:color w:val="000000"/>
          <w:sz w:val="24"/>
        </w:rPr>
        <w:t xml:space="preserve">单位负责人为同一人或者存在直接控股、管理关系的不同供应商，不得参加同一合同项下的政府采购活动。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投标人应自行承担所有与参与投标有关的费用，无论投标过程中的做法和结果如何，采购人和江苏万达工程造价事务所有限公司（以下简称采购代理机构）在任何情况下均无义务和责任承担这些费用。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4.2 </w:t>
      </w:r>
      <w:r>
        <w:rPr>
          <w:rFonts w:ascii="SimSun" w:hAnsi="SimSun" w:eastAsia="SimSun" w:cs="SimSun"/>
          <w:b/>
          <w:color w:val="000000"/>
          <w:sz w:val="24"/>
        </w:rPr>
        <w:t xml:space="preserve">本次招标代理费按苏招协【</w:t>
      </w:r>
      <w:r>
        <w:rPr>
          <w:rFonts w:ascii="Calibri" w:hAnsi="Calibri" w:eastAsia="Calibri" w:cs="Calibri"/>
          <w:b/>
          <w:color w:val="000000"/>
          <w:sz w:val="24"/>
        </w:rPr>
        <w:t xml:space="preserve">2022</w:t>
      </w:r>
      <w:r>
        <w:rPr>
          <w:rFonts w:ascii="SimSun" w:hAnsi="SimSun" w:eastAsia="SimSun" w:cs="SimSun"/>
          <w:b/>
          <w:color w:val="000000"/>
          <w:sz w:val="24"/>
        </w:rPr>
        <w:t xml:space="preserve">】</w:t>
      </w:r>
      <w:r>
        <w:rPr>
          <w:rFonts w:ascii="Calibri" w:hAnsi="Calibri" w:eastAsia="Calibri" w:cs="Calibri"/>
          <w:b/>
          <w:color w:val="000000"/>
          <w:sz w:val="24"/>
        </w:rPr>
        <w:t xml:space="preserve">002</w:t>
      </w:r>
      <w:r>
        <w:rPr>
          <w:rFonts w:ascii="SimSun" w:hAnsi="SimSun" w:eastAsia="SimSun" w:cs="SimSun"/>
          <w:b/>
          <w:color w:val="000000"/>
          <w:sz w:val="24"/>
        </w:rPr>
        <w:t xml:space="preserve">号文收费标准的</w:t>
      </w:r>
      <w:r>
        <w:rPr>
          <w:rFonts w:ascii="Calibri" w:hAnsi="Calibri" w:eastAsia="Calibri" w:cs="Calibri"/>
          <w:b/>
          <w:color w:val="000000"/>
          <w:sz w:val="24"/>
        </w:rPr>
        <w:t xml:space="preserve">30.5%</w:t>
      </w:r>
      <w:r>
        <w:rPr>
          <w:rFonts w:ascii="SimSun" w:hAnsi="SimSun" w:eastAsia="SimSun" w:cs="SimSun"/>
          <w:b/>
          <w:color w:val="000000"/>
          <w:sz w:val="24"/>
        </w:rPr>
        <w:t xml:space="preserve">计取，由中标单位支付，投标人报价应综合考虑此项费用不得单列，在领取中标通知书前一次性支付至代理公司。</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二、招标文件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任何要求对招标文件进行澄清的投标人，应在投标截止时间十日前按招标公告中的通讯地址，以书面形式通知采购人或者采购代理机构。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在投标截止时间前，采购人和采购代理机构可以对招标文件进行修改。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采购人和采购代理机构有权按照法定的要求推迟投标截止时间和开标时间。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三、投标文件编制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四、投标文件递交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采购人和采购代理机构可以按照规定，通过修改招标文件酌情延长投标截止时间，在此情况下，投标人的所有权利和义务以及投标人受制的截止时间均应以延长后新的截止时间为准。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采购代理机构拒绝接收在招标文件规定的投标截止时间后递交（上传）的任何投标文件。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五、开标与评标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采购代理机构将在招标公告中规定的时间和地点组织公开开标。投标人应当按时参加开标活动，并在“苏采云”系统规定的时间内对其投标文件进行解密。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开标仪式由采购代理机构组织。“苏采云”系统将自动对项目进行开标，并宣布各投标人名称和投标价格。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投标人在开标、评标全过程中应保持通讯畅通，及时登录“苏采云”系统查阅、答复相关信息，并安排专人与采购代理机构及评委会联系。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开标后，采购代理机构将组织评委会进行评标。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凡是与审查、澄清、评价和比较投标的有关资料以及授标建议等，采购人、评审专家、采购代理机构均不得向投标人或与评标无关的其他人员透露。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需要供应商进行澄清、说明或者补正的，评委会将通过“苏采云”系统向供应商发出“澄清要求函”，接到“澄清要求函”的投标人应当按照要求在“苏采云”系统中提交“澄清响应函”，并加盖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投标文件审查分为资格审查和符合性审查。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的，即投标（响应） 报价</w:t>
      </w:r>
      <w:r>
        <w:rPr>
          <w:rFonts w:ascii="Calibri" w:hAnsi="Calibri" w:eastAsia="Calibri" w:cs="Calibri"/>
          <w:color w:val="000000"/>
          <w:sz w:val="24"/>
        </w:rPr>
        <w:t xml:space="preserve">&lt;</w:t>
      </w:r>
      <w:r>
        <w:rPr>
          <w:rFonts w:ascii="SimSun" w:hAnsi="SimSun" w:eastAsia="SimSun" w:cs="SimSun"/>
          <w:color w:val="000000"/>
          <w:sz w:val="24"/>
        </w:rPr>
        <w:t xml:space="preserve">全部通过符合性审查供应商投标（响应）报价平均值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Calibri" w:hAnsi="Calibri" w:eastAsia="Calibri" w:cs="Calibri"/>
          <w:color w:val="000000"/>
          <w:sz w:val="24"/>
        </w:rPr>
        <w:t xml:space="preserve">50%</w:t>
      </w:r>
      <w:r>
        <w:rPr>
          <w:rFonts w:ascii="SimSun" w:hAnsi="SimSun" w:eastAsia="SimSun" w:cs="SimSun"/>
          <w:color w:val="000000"/>
          <w:sz w:val="24"/>
        </w:rPr>
        <w:t xml:space="preserve">的，即投标（响应） 报价</w:t>
      </w:r>
      <w:r>
        <w:rPr>
          <w:rFonts w:ascii="Calibri" w:hAnsi="Calibri" w:eastAsia="Calibri" w:cs="Calibri"/>
          <w:color w:val="000000"/>
          <w:sz w:val="24"/>
        </w:rPr>
        <w:t xml:space="preserve">&lt;</w:t>
      </w:r>
      <w:r>
        <w:rPr>
          <w:rFonts w:ascii="SimSun" w:hAnsi="SimSun" w:eastAsia="SimSun" w:cs="SimSun"/>
          <w:color w:val="000000"/>
          <w:sz w:val="24"/>
        </w:rPr>
        <w:t xml:space="preserve">通过符合性审查的次低报价供应商投标（响应）报价</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如果投标文件实质上没有响应招标文件的要求，评委会将予以拒绝，投标人不得通过修改或撤销不符合要求的偏离而使其投标成为实质性响应的投标。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26.7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）不符合招标文件规定的实质性要求和条件的。（本招标文件中标注★的款项为实质性要求和条件）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出现投标截止时间结束后参加投标的供应商或者在评标期间对招标文件做出实质响应的供应商不足三家情况的，按照政府采购有关规定执行。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六、定标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采购代理机构将在江苏政府采购网发布中标公告，公告期限为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）与采购人、其他供应商或者采购代理机构恶意串通的。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）向采购人、采购代理机构行贿或者提供其他不正当利益的。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中标结果确定后，采购代理机构将向中标人发出中标通知书。请中标人在中标结果公告届满之日起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中标人应在中标后七个工作日内，向采购代理机构提供叁份与电子投标文件一致的纸质打印胶装投标文件，封面、骑缝需加盖公章。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七、授予合同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履约保证金的数额不得超过政府采购合同金额的</w:t>
      </w:r>
      <w:r>
        <w:rPr>
          <w:rFonts w:ascii="Calibri" w:hAnsi="Calibri" w:eastAsia="Calibri" w:cs="Calibri"/>
          <w:color w:val="000000"/>
          <w:sz w:val="24"/>
        </w:rPr>
        <w:t xml:space="preserve">10%</w:t>
      </w:r>
      <w:r>
        <w:rPr>
          <w:rFonts w:ascii="SimSun" w:hAnsi="SimSun" w:eastAsia="SimSun" w:cs="SimSun"/>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150</w:t>
      </w:r>
      <w:r>
        <w:rPr>
          <w:rFonts w:ascii="SimSun" w:hAnsi="SimSun" w:eastAsia="SimSun" w:cs="SimSun"/>
          <w:color w:val="000000"/>
          <w:sz w:val="24"/>
        </w:rPr>
        <w:t xml:space="preserve">号）规定。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中标人违约的，采购人将按照合同约定扣除其全部或部分履约保证金。如中标人违约给采购人造成的损失超过履约保证金的，应当依法赔偿超过部分的损失。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履约保证金自合同生效之日起至合同约定的中标人主要义务履行完毕止，采购人应当按合同约定及时退还履约保证金。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30.4 </w:t>
      </w:r>
      <w:r>
        <w:rPr>
          <w:rFonts w:ascii="SimSun" w:hAnsi="SimSun" w:eastAsia="SimSun" w:cs="SimSun"/>
          <w:color w:val="000000"/>
          <w:sz w:val="24"/>
        </w:rPr>
        <w:t xml:space="preserve">逾期退还履约保证金的采购人承担违约责任，按照中国人民银行同期贷款基准利率向中标人支付超期资金占用费。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30.5 </w:t>
      </w:r>
      <w:r>
        <w:rPr>
          <w:rFonts w:ascii="SimSun" w:hAnsi="SimSun" w:eastAsia="SimSun" w:cs="SimSun"/>
          <w:color w:val="000000"/>
          <w:sz w:val="24"/>
        </w:rPr>
        <w:t xml:space="preserve">本项目履约保证金要求详见招标文件第四章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中标人可凭政府采购合同办理融资贷款，详情请见江苏政府采购网“政采贷”专栏。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八、询问与质疑</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供应商对政府采购活动事项有疑问的，可以提出询问，采购人或者采购代理机构应当在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个工作日内对投标人依法提出的询问作出答复，但答复的内容不得涉及商业秘密。供应商提出的询问超出采购人对采购代理机构委托授权范围的，采购代理机构应当告知其向采购人提出。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对不符合质疑要求的，采购人、采购代理机构有权要求其补充必要的证明材料，质疑供应商未在法定时间内补充必要的证明材料的，不利后果由质疑供应商自行承担。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采购人、采购代理机构依法受理的质疑，将按照政府采购有关规定，在法定期限内作出答复。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因质疑供应商所留联系方式无效，或者无故不接收，导致质疑答复结果无法送达的，视为质疑供应商主动放弃知晓质疑答复结果的权利。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九、政府采购政策功能</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w:t>
      </w:r>
      <w:r>
        <w:rPr>
          <w:rFonts w:ascii="Calibri" w:hAnsi="Calibri" w:eastAsia="Calibri" w:cs="Calibri"/>
          <w:color w:val="000000"/>
          <w:sz w:val="24"/>
        </w:rPr>
        <w:t xml:space="preserve">&lt;</w:t>
      </w:r>
      <w:r>
        <w:rPr>
          <w:rFonts w:ascii="SimSun" w:hAnsi="SimSun" w:eastAsia="SimSun" w:cs="SimSun"/>
          <w:color w:val="000000"/>
          <w:sz w:val="24"/>
        </w:rPr>
        <w:t xml:space="preserve">政府采购促进中小企业发展管理办法</w:t>
      </w:r>
      <w:r>
        <w:rPr>
          <w:rFonts w:ascii="Calibri" w:hAnsi="Calibri" w:eastAsia="Calibri" w:cs="Calibri"/>
          <w:color w:val="000000"/>
          <w:sz w:val="24"/>
        </w:rPr>
        <w:t xml:space="preserve">&gt;</w:t>
      </w:r>
      <w:r>
        <w:rPr>
          <w:rFonts w:ascii="SimSun" w:hAnsi="SimSun" w:eastAsia="SimSun" w:cs="SimSun"/>
          <w:color w:val="000000"/>
          <w:sz w:val="24"/>
        </w:rPr>
        <w:t xml:space="preserve">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号）的规定，专门面向中型企业、小型企业、微型企业、残疾人福利性单位、监狱企业采购。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参加本项目政府采购活动的供应商应当提供的材料：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）投标人为中型企业、小型企业、微型企业的，提供《中小企业声明函》（第六章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38</w:t>
      </w:r>
      <w:r>
        <w:rPr>
          <w:rFonts w:ascii="SimSun" w:hAnsi="SimSun" w:eastAsia="SimSun" w:cs="SimSun"/>
          <w:b/>
          <w:color w:val="000000"/>
          <w:sz w:val="28"/>
        </w:rPr>
        <w:t xml:space="preserve">、支持绿色发展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18</w:t>
      </w:r>
      <w:r>
        <w:rPr>
          <w:rFonts w:ascii="SimSun" w:hAnsi="SimSun" w:eastAsia="SimSun" w:cs="SimSun"/>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38.2 </w:t>
      </w:r>
      <w:r>
        <w:rPr>
          <w:rFonts w:ascii="SimSun" w:hAnsi="SimSun" w:eastAsia="SimSun" w:cs="SimSu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38.3 </w:t>
      </w:r>
      <w:r>
        <w:rPr>
          <w:rFonts w:ascii="SimSun" w:hAnsi="SimSun" w:eastAsia="SimSun" w:cs="SimSun"/>
          <w:color w:val="000000"/>
          <w:sz w:val="24"/>
        </w:rPr>
        <w:t xml:space="preserve">为落实挥发性有机化合物（</w:t>
      </w:r>
      <w:r>
        <w:rPr>
          <w:rFonts w:ascii="Calibri" w:hAnsi="Calibri" w:eastAsia="Calibri" w:cs="Calibri"/>
          <w:color w:val="000000"/>
          <w:sz w:val="24"/>
        </w:rPr>
        <w:t xml:space="preserve">VOCs</w:t>
      </w:r>
      <w:r>
        <w:rPr>
          <w:rFonts w:ascii="SimSun" w:hAnsi="SimSun" w:eastAsia="SimSun" w:cs="SimSun"/>
          <w:color w:val="000000"/>
          <w:sz w:val="24"/>
        </w:rPr>
        <w:t xml:space="preserve">）治理要求，本项目采购标的如涉及涂料、胶黏剂、油墨、清洗剂等挥发性有机物产品的，投标人应当执行国家和我省</w:t>
      </w:r>
      <w:r>
        <w:rPr>
          <w:rFonts w:ascii="Calibri" w:hAnsi="Calibri" w:eastAsia="Calibri" w:cs="Calibri"/>
          <w:color w:val="000000"/>
          <w:sz w:val="24"/>
        </w:rPr>
        <w:t xml:space="preserve">VOCs</w:t>
      </w:r>
      <w:r>
        <w:rPr>
          <w:rFonts w:ascii="SimSun" w:hAnsi="SimSun" w:eastAsia="SimSun" w:cs="SimSun"/>
          <w:color w:val="000000"/>
          <w:sz w:val="24"/>
        </w:rPr>
        <w:t xml:space="preserve">含量限制标准，并优先使用低挥发性原辅材料。投标人使用低</w:t>
      </w:r>
      <w:r>
        <w:rPr>
          <w:rFonts w:ascii="Calibri" w:hAnsi="Calibri" w:eastAsia="Calibri" w:cs="Calibri"/>
          <w:color w:val="000000"/>
          <w:sz w:val="24"/>
        </w:rPr>
        <w:t xml:space="preserve">VOCs</w:t>
      </w:r>
      <w:r>
        <w:rPr>
          <w:rFonts w:ascii="SimSun" w:hAnsi="SimSun" w:eastAsia="SimSun" w:cs="SimSun"/>
          <w:color w:val="000000"/>
          <w:sz w:val="24"/>
        </w:rPr>
        <w:t xml:space="preserve">含量的涂料、胶黏剂等将纳入政府采购合同条款。</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39</w:t>
      </w:r>
      <w:r>
        <w:rPr>
          <w:rFonts w:ascii="SimSun" w:hAnsi="SimSun" w:eastAsia="SimSun" w:cs="SimSun"/>
          <w:b/>
          <w:color w:val="000000"/>
          <w:sz w:val="28"/>
        </w:rPr>
        <w:t xml:space="preserve">、政府采购需求标准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年版）》、《便携式计算机政府采购需求标准（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年版）》、《一体式计算机政府采购需求标准（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年版）》、《工作站政府采购需求标准（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年版）》、《通用服务器政府采购需求标准（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年版）》、《操作系统政府采购需求标准（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年版）》、《数据库政府采购需求标准（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40、支持采购本国产品的政策</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（备注：以下为中标后签订本项目合同的通用条款，根据实际成交情况签订合同。）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连云港市政府采购合同（服务）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（合同编号：***）</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Calibri" w:hAnsi="Calibri" w:eastAsia="Calibri" w:cs="Calibri"/>
          <w:color w:val="000000"/>
          <w:sz w:val="24"/>
        </w:rPr>
        <w:t xml:space="preserve">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Calibri" w:hAnsi="Calibri" w:eastAsia="Calibri" w:cs="Calibri"/>
          <w:color w:val="000000"/>
          <w:sz w:val="24"/>
        </w:rPr>
        <w:t xml:space="preserve">_________</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）公开招标的结果，签订本合同。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服务内容：</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 </w:t>
      </w:r>
      <w:r>
        <w:rPr>
          <w:rFonts w:ascii="SimSun" w:hAnsi="SimSun" w:eastAsia="SimSun" w:cs="SimSun"/>
          <w:color w:val="000000"/>
          <w:sz w:val="24"/>
        </w:rPr>
        <w:t xml:space="preserve">服务要求：</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 </w:t>
      </w:r>
      <w:r>
        <w:rPr>
          <w:rFonts w:ascii="SimSun" w:hAnsi="SimSun" w:eastAsia="SimSun" w:cs="SimSun"/>
          <w:color w:val="000000"/>
          <w:sz w:val="24"/>
        </w:rPr>
        <w:t xml:space="preserve">服务标准：</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Sun" w:hAnsi="SimSun" w:eastAsia="SimSun" w:cs="SimSun"/>
          <w:color w:val="000000"/>
          <w:sz w:val="24"/>
        </w:rPr>
        <w:t xml:space="preserve">补充条款：</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本合同金额为人民币（大写）：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本合同价款包含所有乙方提供合同约定产品和服务的报酬及乙方提供合同约定产品和服务所支出的必要费用，甲方在上述合同价款之外不再向乙方支付其他任何费用。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乙方应按招标文件规定的时间向甲方提供有关技术资料。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乙方保证所交付标的的所有权完全属于乙方且无任何抵押、查封等产权瑕疵。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中标供应商应当以支票、汇票、本票或者金融机构、担保机构出具的保函等非现金形式在合同签订前提交。履约保证金自合同生效之日起至合同约定的成交供应商主要义务履行完毕止，采购人按合同约定退还履约保证金。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本合同范围内产品或服务，应由乙方直接供应，不得转让他人供应或部分分包给他人供应。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SimSun" w:hAnsi="SimSun" w:eastAsia="SimSun" w:cs="SimSun"/>
          <w:color w:val="000000"/>
          <w:sz w:val="24"/>
        </w:rPr>
        <w:t xml:space="preserve">如有转让和未经甲方同意的分包行为，甲方有权终止合同。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八、服务时间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服务时间：</w:t>
      </w:r>
      <w:r>
        <w:rPr>
          <w:rFonts w:ascii="SimSun" w:hAnsi="SimSun" w:eastAsia="SimSun" w:cs="SimSun"/>
          <w:color w:val="000000"/>
          <w:sz w:val="24"/>
          <w:u w:val="single"/>
        </w:rPr>
        <w:t xml:space="preserve">           </w:t>
      </w:r>
      <w:r>
        <w:rPr>
          <w:rFonts w:ascii="SimHei" w:hAnsi="SimHei" w:eastAsia="SimHei" w:cs="SimHei"/>
          <w:color w:val="000000"/>
          <w:sz w:val="24"/>
          <w:u w:val="single"/>
        </w:rPr>
        <w:t xml:space="preserve"> </w:t>
      </w:r>
      <w:r>
        <w:rPr>
          <w:rFonts w:ascii="SimHei" w:hAnsi="SimHei" w:eastAsia="SimHei" w:cs="SimHe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九、合同内容的交付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交 付 期：</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交付方式：</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9.3 </w:t>
      </w:r>
      <w:r>
        <w:rPr>
          <w:rFonts w:ascii="SimSun" w:hAnsi="SimSun" w:eastAsia="SimSun" w:cs="SimSun"/>
          <w:color w:val="000000"/>
          <w:sz w:val="24"/>
        </w:rPr>
        <w:t xml:space="preserve">交付地点：</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w:t>
      </w:r>
      <w:r>
        <w:rPr>
          <w:rFonts w:ascii="SimSun" w:hAnsi="SimSun" w:eastAsia="SimSun" w:cs="SimSun"/>
          <w:color w:val="000000"/>
          <w:sz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9.5</w:t>
      </w:r>
      <w:r>
        <w:rPr>
          <w:rFonts w:ascii="SimSun" w:hAnsi="SimSun" w:eastAsia="SimSun" w:cs="SimSun"/>
          <w:color w:val="000000"/>
          <w:sz w:val="24"/>
        </w:rPr>
        <w:t xml:space="preserve"> 乙方在合同标的交付甲方</w:t>
      </w:r>
      <w:r>
        <w:rPr>
          <w:rFonts w:ascii="Calibri" w:hAnsi="Calibri" w:eastAsia="Calibri" w:cs="Calibri"/>
          <w:color w:val="000000"/>
          <w:sz w:val="24"/>
        </w:rPr>
        <w:t xml:space="preserve">48</w:t>
      </w:r>
      <w:r>
        <w:rPr>
          <w:rFonts w:ascii="SimSun" w:hAnsi="SimSun" w:eastAsia="SimSun" w:cs="SimSun"/>
          <w:color w:val="000000"/>
          <w:sz w:val="24"/>
        </w:rPr>
        <w:t xml:space="preserve">小时前通知甲方准备接收。合同标的在规定的交付期限内由乙方送达甲方指定的地点视为交付，乙方同时需通知甲方已送达。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付款方式：</w:t>
      </w:r>
      <w:r>
        <w:rPr>
          <w:rFonts w:ascii="Calibri" w:hAnsi="Calibri" w:eastAsia="Calibri" w:cs="Calibri"/>
          <w:color w:val="000000"/>
          <w:sz w:val="24"/>
        </w:rPr>
        <w:t xml:space="preserve">_________</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当采购数量与实际使用数量不一致时，乙方应根据实际使用量提供产品和服务，合同的最终结算金额按实际使用量乘以中标单价计算。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十一、税费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本合同执行中相关的一切税费均由乙方负担。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十二、质量保证及售后服务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乙方应按招标文件规定和投标文件承诺的性能、技术要求、质量标准向甲方提供产品或服务。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乙方提供的产品或服务在服务期内因其本身出现质量问题，根据实际情况，经双方协商，可按以下办法处理：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）更换：由乙方承担所产生的全部费用。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）合同终止处理：合同终止，乙方退还甲方支付的合同款，同时承担由此产生的全部费用，甲方不承担任何产生费用。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SimSun" w:hAnsi="SimSun" w:eastAsia="SimSun" w:cs="SimSun"/>
          <w:color w:val="000000"/>
          <w:sz w:val="24"/>
        </w:rPr>
        <w:t xml:space="preserve">在服务期内，乙方应对产品或服务出现的质量及安全问题负责处理解决并承担一切费用。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十三、项目验收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13.5 </w:t>
      </w:r>
      <w:r>
        <w:rPr>
          <w:rFonts w:ascii="SimSun" w:hAnsi="SimSun" w:eastAsia="SimSun" w:cs="SimSun"/>
          <w:color w:val="000000"/>
          <w:sz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SimSun" w:hAnsi="SimSun" w:eastAsia="SimSun" w:cs="SimSun"/>
          <w:color w:val="000000"/>
          <w:sz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甲方无正当理由拒收的，甲方向乙方偿付拒收标的总额的违约金。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乙方逾期交付合同标的的，乙方应按逾期交付总额每日向甲方支付违约金，由甲方从待付合同款中扣除，最高限额为本合同总额的</w:t>
      </w:r>
      <w:r>
        <w:rPr>
          <w:rFonts w:ascii="SimSun" w:hAnsi="SimSun" w:eastAsia="SimSun" w:cs="SimSun"/>
          <w:color w:val="000000"/>
          <w:sz w:val="24"/>
          <w:u w:val="single"/>
        </w:rPr>
        <w:t xml:space="preserve">      </w:t>
      </w:r>
      <w:r>
        <w:rPr>
          <w:rFonts w:ascii="SimSun" w:hAnsi="SimSun" w:eastAsia="SimSun" w:cs="SimSun"/>
          <w:color w:val="000000"/>
          <w:sz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 </w:t>
      </w:r>
      <w:r>
        <w:rPr>
          <w:rFonts w:ascii="SimSun" w:hAnsi="SimSun" w:eastAsia="SimSun" w:cs="SimSun"/>
          <w:color w:val="000000"/>
          <w:sz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十五、不可抗力事件处理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在合同有效期内，任何一方因不可抗力事件导致不能履行合同的，则合同履行期可延长，其延长期与不可抗力影响期相同。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不可抗力事件延续</w:t>
      </w:r>
      <w:r>
        <w:rPr>
          <w:rFonts w:ascii="Calibri" w:hAnsi="Calibri" w:eastAsia="Calibri" w:cs="Calibri"/>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十六、解决争议的方法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甲乙双方因合同签订、履行而发生的一切争议，应通过友好协商解决。如协商不成，按下列第</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）向连云港仲裁委员会申请仲裁。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）向合同签订地法院起诉，合同签订地在此约定为连云港市。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十七、合同生效及其他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合同经双方法定代表人或授权代表签字并加盖单位公章后生效。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17.3 </w:t>
      </w:r>
      <w:r>
        <w:rPr>
          <w:rFonts w:ascii="SimSun" w:hAnsi="SimSun" w:eastAsia="SimSun" w:cs="SimSun"/>
          <w:color w:val="000000"/>
          <w:sz w:val="24"/>
        </w:rPr>
        <w:t xml:space="preserve">本合同正本一式四份，具有同等法律效力，甲方执两份、乙方执一份，甲方报一份至政府采购监督管理部门。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第四章采购需求</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说明：本项目采购方式为公开招标，项目属性为服务，采购标的对应的中小企业划分标准所属行业为 </w:t>
      </w:r>
      <w:r>
        <w:rPr>
          <w:rFonts w:ascii="SimSun" w:hAnsi="SimSun" w:eastAsia="SimSun" w:cs="SimSun"/>
          <w:b/>
          <w:color w:val="000000"/>
          <w:sz w:val="24"/>
          <w:u w:val="single"/>
        </w:rPr>
        <w:t xml:space="preserve">租赁和商务服务业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2、本项目需求中标注★号的款项为实质性要求和条件，由采购人根据实际情况设置，投标人必须逐条明确作出满足实质性要求和条件的响应，否则投标无效。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连云港师范学院占地近</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亩，现有师生员工近</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名。学校保安服务工作主要包括门卫、重点场所守护、校园巡逻、学校大型活动与会务工作的安全保障，校内临时性的应急处置工作，并做好校内防火、防盗、防破坏、防事故等安全工作，配合相关部门打击校园内部与周边的违法犯罪活动以及校方布置的其他工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本次招聘预算费用：</w:t>
      </w:r>
      <w:r>
        <w:rPr>
          <w:rFonts w:ascii="FangSong" w:hAnsi="FangSong" w:eastAsia="FangSong" w:cs="FangSong"/>
          <w:color w:val="000000"/>
          <w:sz w:val="28"/>
          <w:u w:val="single"/>
        </w:rPr>
        <w:t xml:space="preserve">189万元/每年</w:t>
      </w:r>
      <w:r>
        <w:rPr>
          <w:rFonts w:ascii="FangSong" w:hAnsi="FangSong" w:eastAsia="FangSong" w:cs="FangSong"/>
          <w:color w:val="000000"/>
          <w:sz w:val="28"/>
        </w:rPr>
        <w:t xml:space="preserve">，两年共计378万元。服务期限：两年（自合同约定日起）</w:t>
      </w:r>
      <w:r>
        <w:rPr>
          <w:rFonts w:ascii="FangSong" w:hAnsi="FangSong" w:eastAsia="FangSong" w:cs="FangSong"/>
          <w:color w:val="000000"/>
          <w:sz w:val="28"/>
          <w:u w:val="singl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二、服务技术要求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、服务范围（服务内容）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学校规定与管理要求，结合校园安全保卫工作实际情况，制订切实可行的校园安全保卫工作整体方案报学校保卫处审批，开展专业化安全防范业务。学校保安服务工作主要包括门卫、重点场所守护、校园巡逻，学校大型活动与会务工作的安全保障，校内临时性的应急处置工作（包括止血、包扎、心肺复苏等应急救护工作），并做好校内防火、防盗、防破坏、防事故等安全工作，配合相关部门打击校园内部与周边的违法犯罪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本项目包含的各项内容均需上门服务。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三、人员配备要求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人员配置及岗位要求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★投标人须为学校最低配备保安服务人员45人，根据学校各岗位人员要求按“三班两运转”基本原则安排到岗人数。投标人在组织、安排保安工作时，应符合国家相关法规，维护保安人员的正当权益。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9"/>
        <w:gridCol w:w="699"/>
        <w:gridCol w:w="6541"/>
      </w:tblGrid>
      <w:tr>
        <w:trPr>
          <w:trHeight w:val="5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岗位要求</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大专及以上学历，专门负责我校保安日常管理，协助学校处理突发事件，男性，持有保安员证。年龄45周岁以下。</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保安队长、副队长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专及以上学历，专门负责我校保安日常管理，协助学校处理突发事件，男性，持有保安员证；熟练开展心肺复苏、止血、包扎、创伤救护等应急救护工作；熟练使用灭火器、消防栓、消防报警器等各类消防设施；年龄45周岁以下。</w:t>
            </w:r>
            <w:r/>
          </w:p>
        </w:tc>
      </w:tr>
      <w:tr>
        <w:trPr>
          <w:trHeight w:val="15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高中及以上学历，配合项目经理及保安队长工作，分别负责早、中、晚三个班次保安领班工作。男性，持有保安员证；熟练开展心肺复苏、止血、包扎、创伤救护等应急救护工作。年龄45周岁以下。</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门卫管理（南门进、出口）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男性，持有保安员证。24小时值班，每班3人（进口2人，出口1人），共3班。其中至少3人年龄在45岁以下，其他人员年龄在50周岁以下。晚9点后南门出口关闭，该班值守人员负责吉余楼晚间值守。</w:t>
            </w:r>
            <w:r/>
          </w:p>
        </w:tc>
      </w:tr>
      <w:tr>
        <w:trPr>
          <w:trHeight w:val="6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门卫管理（西北门）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男性，持有保安员证。24小时值班，每班2人，共3班。其中至少2人年龄在50岁以下，其他人员年龄在55周岁以下。晚9点后西北门关闭，其中一名值守人员负责大同楼、绍曾楼、智贤楼晚间值守。</w:t>
            </w:r>
            <w:r/>
          </w:p>
        </w:tc>
      </w:tr>
      <w:tr>
        <w:trPr>
          <w:trHeight w:val="53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门卫管理（大活北侧门、大学生活动中心）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男性，持有保安员证。24小时值班，每班1人，共3班。其中至少1人年龄在50岁以下，其他人员年龄在55周岁以下。</w:t>
            </w:r>
            <w:r/>
          </w:p>
        </w:tc>
      </w:tr>
      <w:tr>
        <w:trPr>
          <w:trHeight w:val="92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男性，年龄不超过55周岁，持有保安员证。馆内24小时值守，每班1人。</w:t>
            </w:r>
            <w:r/>
          </w:p>
        </w:tc>
      </w:tr>
      <w:tr>
        <w:trPr>
          <w:trHeight w:val="6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机动巡逻</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男性，持有保安员证。24小时值班，每班2人，共3班。完成校园巡逻、特殊时间段人员密集处值守以及突发事件处理。年龄均在45周岁以下。晚班时分出1人负责彦涵楼晚间值守。</w:t>
            </w:r>
            <w:r/>
          </w:p>
        </w:tc>
      </w:tr>
      <w:tr>
        <w:trPr>
          <w:trHeight w:val="92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玖兴楼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年龄不超过50周岁，持有保安员证。每栋建筑均为“三班两运转”24小时值班，每班1人。</w:t>
            </w:r>
            <w:r/>
          </w:p>
        </w:tc>
      </w:tr>
      <w:tr>
        <w:trPr>
          <w:trHeight w:val="6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智慧安防指挥中心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50周岁，持有保安员证，会电脑操作，能够完成监控、道闸等安防系统的操作与使用。具备《建（构）筑物消防员》资质证书或《消防设施操作员》证书（“消防设施监控操作方向”），熟练使用灭火器、消防栓、消防报警器等各类消防设施，24小时值班。</w:t>
            </w:r>
            <w:r/>
          </w:p>
        </w:tc>
      </w:tr>
      <w:tr>
        <w:trPr>
          <w:trHeight w:val="5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门卫管理（体育馆、百川楼）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男性，年龄不超过55周岁，持有保安员证。馆内24小时值守，每班1人。</w:t>
            </w:r>
            <w:r/>
          </w:p>
        </w:tc>
      </w:tr>
      <w:tr>
        <w:trPr>
          <w:trHeight w:val="5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4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岗位工作职责要求：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3.2.1项目经理</w:t>
      </w:r>
      <w:r>
        <w:rPr>
          <w:rFonts w:ascii="SimSun" w:hAnsi="SimSun" w:eastAsia="SimSun" w:cs="SimSun"/>
          <w:color w:val="000000"/>
          <w:sz w:val="24"/>
        </w:rPr>
        <w:t xml:space="preserve">：男性，代表公司全面负责保安队伍的日常管理事务，严格保安队伍纪律管理，奖优罚劣；承担保安违规违纪的连带责任；实行人性化管理，关心队员疾苦，掌握队员的思想动态，充分调动队员积极性，努力保证队伍稳定；传达落实校园的服务要求与管理规定，组织实施并不断完善校园安全保卫整体方案；熟练使用灭火器、消防栓、消防报警器等各类消防设施；结合校园发展实际情况，适时作出岗位调整，完善各岗位职责；有针对性地开展安全教育和提示；定期向学校保卫处汇报工作开展情况及治安信息，重大情况及时报告；配合校方对校园内违规事件的处理；组织开展保安</w:t>
      </w:r>
      <w:r>
        <w:rPr>
          <w:rFonts w:ascii="SimSun" w:hAnsi="SimSun" w:eastAsia="SimSun" w:cs="SimSun"/>
          <w:color w:val="000000"/>
          <w:sz w:val="24"/>
        </w:rPr>
        <w:t xml:space="preserve">业务培训和预案演练，制订校园内重大活动的安全保卫方案；建立健全录用保安人员档案资料及校方所属设备资产的领用维修台帐。</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3.2.2保安队长、副队长及保安班长</w:t>
      </w:r>
      <w:r>
        <w:rPr>
          <w:rFonts w:ascii="SimSun" w:hAnsi="SimSun" w:eastAsia="SimSun" w:cs="SimSun"/>
          <w:color w:val="000000"/>
          <w:sz w:val="24"/>
        </w:rPr>
        <w:t xml:space="preserve">：男性，以身作则、吃苦在先、讲求奉献；熟练开展心肺复苏、止血、包扎、创伤救护等应急救护工作；熟练使用灭火器、消防栓、消防报警器等各类消防设施；贯彻落实工作任务要求与保安服务现场管理干部的工作安排，组织实施校园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校方提供的设备器材，严格设备交接班制度；组织指挥保安队员做好校园重大活动的安全保卫与秩序保</w:t>
      </w:r>
      <w:r>
        <w:rPr>
          <w:rFonts w:ascii="SimSun" w:hAnsi="SimSun" w:eastAsia="SimSun" w:cs="SimSun"/>
          <w:color w:val="000000"/>
          <w:sz w:val="24"/>
        </w:rPr>
        <w:t xml:space="preserve">障工作；带领学生治安巡逻队，发挥学生参与治安防范的作用；将各岗位的执勤情况汇总记录。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3.2.3门卫管理</w:t>
      </w:r>
      <w:r>
        <w:rPr>
          <w:rFonts w:ascii="SimSun" w:hAnsi="SimSun" w:eastAsia="SimSun" w:cs="SimSun"/>
          <w:color w:val="000000"/>
          <w:sz w:val="24"/>
        </w:rPr>
        <w:t xml:space="preserve">：严格执行学校《校门治安管理规定》，严格人员、车辆、物资进出管理；按时立岗，礼貌待人，树立良好的窗口形象；对来访人员实行验证登记制度，禁止闲杂人员混入校园；对携物出门实行出门证验审制度，防止财物流失；对外单位车辆实行换证入校制度；维护责任区域秩序，与各岗位互通信息；值班室无闲杂人员滞留，保持内外环境整洁卫生，门前卫生三包；完成学校交办的其他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3.2.4区域守护</w:t>
      </w:r>
      <w:r>
        <w:rPr>
          <w:rFonts w:ascii="SimSun" w:hAnsi="SimSun" w:eastAsia="SimSun" w:cs="SimSun"/>
          <w:color w:val="000000"/>
          <w:sz w:val="24"/>
        </w:rPr>
        <w:t xml:space="preserve">：严格执行学校《内部治安重点部位安全防范管理规定》，熟悉守护区域的情况特点，定点守卫与区域巡查相结合；掌握消防栓、灭火器等安全设施的位置、性能和使用方法；听从班长工作安排与指挥调度，及时处置突发事件；维护责任区域公共秩序，协助各岗位开展校园交通秩序管理；发现可疑人员主动盘问，发现违规行为，大胆管理，主动干预，发现异常和安全隐患，立即采取措施并报告，制止暴力事件，有效处置各种违法犯罪行为；保持岗亭卫生整洁，无闲杂人员滞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3.2.5机动巡逻</w:t>
      </w:r>
      <w:r>
        <w:rPr>
          <w:rFonts w:ascii="SimSun" w:hAnsi="SimSun" w:eastAsia="SimSun" w:cs="SimSun"/>
          <w:color w:val="000000"/>
          <w:sz w:val="24"/>
        </w:rPr>
        <w:t xml:space="preserve">：严格执行学校《校园治安巡逻暂行规定》，发现和排除各种不安全因素，及时处置各种违法犯罪行为；听从班长工作安排与指挥调度，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负责校园内未实施物业管理楼宇的夜间定时清场；如实记录汇报巡逻记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3.2.6消防管理</w:t>
      </w:r>
      <w:r>
        <w:rPr>
          <w:rFonts w:ascii="SimSun" w:hAnsi="SimSun" w:eastAsia="SimSun" w:cs="SimSun"/>
          <w:color w:val="000000"/>
          <w:sz w:val="24"/>
        </w:rPr>
        <w:t xml:space="preserve">：熟练使用灭火器、消防栓、消防报警器等各类消防设施；每周检查记录校园内公共部位的消防设施，确保完好，绘制消防设施分布图，协助校方做好室外设施的日常维护；建立托管消防器材的台帐记录，定期检查器材完好程度和有效期限；经常性开展消防业务培训，制定完善的预案并演练，使每一个保安人员能胜任校园义务消防员的角色；发现有人擅自动用消防设施的，应及时制止并报告校区；发现火灾隐患，立即报告学校保卫处并设法消除；发生火警，能冷静处置，按预案进行火灾报警、人员疏散、组织扑救、抢救物资等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3.2.7校园交通管理等</w:t>
      </w:r>
      <w:r>
        <w:rPr>
          <w:rFonts w:ascii="SimSun" w:hAnsi="SimSun" w:eastAsia="SimSun" w:cs="SimSun"/>
          <w:color w:val="000000"/>
          <w:sz w:val="24"/>
        </w:rPr>
        <w:t xml:space="preserve">：通过门卫卡口管理、区域守护与机动巡逻，形成校园安全防范网络；保障校园内正常的学习、生活、教学、科研、工作秩序；禁止盲流人员进入校园；维护校园正常的经营秩序，禁止乱设摊点；加强校园内部交通秩序管理，通过主动干预提示，控制车辆速度，禁止无牌照车辆进入校园，保障大门及校内道路畅通，无交通事故发生，无车辆乱停乱放现象；按校方规定对悬挂横幅进行管理，及时清理校园违规张贴物，发现违规标语、宣传物等及时报告保卫处，并按规定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Hei" w:hAnsi="SimHei" w:eastAsia="SimHei" w:cs="SimHei"/>
          <w:b/>
          <w:color w:val="000000"/>
          <w:sz w:val="24"/>
        </w:rPr>
        <w:t xml:space="preserve">四、服务期限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服务期限：两年（自合同约定日起）。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五、服务标准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维护服务区域内治安秩序；并做好防火、防盗、防抢劫、防破坏、防自然灾害等安全守护工作，及时发现各类突发安全事故，减少治安事件的发生，为采购人提供良好的工作、生活环境，确保目标区域</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小时的财产和人身安全。所有保安人员必须听从和服从采购人的统一使用和管理。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5.1.保安服务的主要职责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认真执行学校内部保卫工作制度，负责连云港师范学院校园门卫、治安巡逻，维持校园秩序，维护校园稳定，及时发现和消除安全隐患，预防各类治安和刑事案件发生，保护学校和师生员工的财产和人身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5.1.2在学校保卫处的组织和领导下，做好校园内部治安综合治理工作；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5.1.3配合学校保卫处，及时受理校园内各类纠纷和治安案件，及时、正确处理校园内的各类突发事件；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5.1.4协助并配合学生宿舍及各楼宇物业公司内部安全防范；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5.1.5为师生员工提供紧急救助服务；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5.1.6临时抽调保安力量，做好学校重大活动安全保卫工作；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5.1.7配合公安机关，打击校园内部与周边的违法犯罪活动。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5.2.委托管理事项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依照校方规定与管理要求，结合校园安全保卫工作实际情况，制订切实可行的校园安全保卫工作整体方案，开展专业化安全防范业务，具体管理事项如下：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5.2.1按照学校《校门治安管理规定》实行校园南门的24小时门卫管理；其他各门定时门卫管理；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5.2.2按学校《校园治安巡逻暂行规定》实行校园24小时巡逻，认真执行学校校门治安管理规定；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5.2.3按《学校校园交通秩序管理规定》实行校内交通秩序的管理；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5.2.4按学校《内部治安重点部位安全防范管理规定》实行校内治安管理，重点部位的定点守护；做好校监控中心（包括消防控制室）管理工作；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5.2.5校园内未实施物业管理楼宇的夜间定时清场；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5.2.6校内重大活动的安全警戒与秩序保障；配合做好重大事件的政治保卫工作；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5.2.7配合学校保卫处，受理校园内各类纠纷和治安案件，配合校方对违规事件的调查，协助公安机关对案件的排查；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5.2.8校园突发事件处置、灾害预防，发现和制止校内暴力事件，随时准备提供紧急救助；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5.2.9成立消防队，做好校园火灾防控以及扑救任务；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5.2.10校园公共部位安全隐患检查、排除及上报；违规纠正；有针对性地开展安全教育和提示；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5.2.11组织并带领学生安全员和劳动课学生治安巡逻，并制止校园不文明举止；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5.2.12承担校方提供的保安业务所使用的办公设备、设施、交通工具、通讯工具、照明设施、警具等的维修和耗料费用；故意损坏、恶意使用或丢失全额赔偿；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5.2.13其它属于保安服务范围内的工作以及校方临时交办的任务。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3.项目管理要求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5.3.1质量目标要求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5.3.1.1依托行业标准，根据校方管理规定与服务要求，制订切实可行的校园保安服务整体方案和应急预案，突发事件反应迅速，预案处置有力；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5.3.1.2依法办事，文明值勤，严格管理，保障学校财产和师生人身不受侵害，维护正常的教学、科研、生活秩序；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5.3.1.3全年无责任事故和责任案件发生，师生有安全感，对校园保安服务满意率在85%以上。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5.3.2.1树立“服务第一，业主至上”的思想，切实维护学校与师生的人身和财产安全；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5.3.2.2管理坚持原则、慎密严谨；服务以人为本、主动热情；处理问题高度警惕、有理有节；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5.3.2.3上岗人员仪表整洁，着装正规，业务操作规范，礼貌待人，保持岗位卫生整洁；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5.3.2.4依法办事，文明执勤，不与师生发生争吵，杜绝保安与师生发生冲突，严禁保安出手伤及师生人身安全，做到打不还手、骂不还口；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5.3.2.5师生有求必应，有险必出。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5.3.3队伍建设与管理要求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5.3.3.1从校方安全实际出发，每个季度开展在岗人员业务培训和紧急预案演练；培训内容包括公司各项规章制度、连云港师范学院相关管理规定及军训相关内容，紧急预案演练按应急预案相关内容进行演练。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5.3.3.2内部管理体制健全，设立保安服务现场管理干部1人，全面负责日常保安队伍的规范化管理。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5.3.3.3投标单位必须采取切实有效措施保持保安队伍的稳定，严格控制非违纪人员轮换岗比例，合同期限内轮换岗保安人数不得超过合同编制的50%；保安队伍主要管理员更换，应提前一个月以书面形式通知招标人,其他队员更换要提前三天告知保卫处；确保服务质量不因人员变动而受影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5.3.3.4保安应聘、录用、离职等管理档案规范，手续齐全，相应资料必须报学校保卫处备案，禁止离职保安进入校园。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5.3.4人员素质要求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5.3.4.1保安从业人员应知法，懂法，守法，依法办事，必须严格遵守保安从业规范，模范遵守校园安全管理规定；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5.3.4.2所聘用的保安人员有吃苦耐劳的精神和高度的责任感，受过专门的岗前培训，熟知校方的管理规定，严格履行岗位职责，善于发现各类问题，具备一定的管理经验和处理突发事件能力。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5.3.4.3保安服务现场管理干部要加强对保安业务的管理，确保保安在校园内无违规事件发生。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5.3.5工作衔接要求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5.3.5.1根据行业服务标准与校方规定要求，独立运作，落实校园安全保卫整体方案，并结合校园变化实际在实践中不断完善；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5.3.5.2保安服务现场管理干部须与学校保卫处保持必要的工作交流，每天必须向学校保卫处口头汇报工作，每星期一次向学校保卫处书面汇报所承担的保安工作开展情况及信息反馈，重大情况须及时报告；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5.3.5.3做好详细的执勤记录，原始台帐保存完好，以备校方核查；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5.3.5.4协同校园治安协防组织，形成群防群治体系；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5.3.5.5与楼宇物业协作，开展安全防范；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3.5.5.6与当地派出所、综治办加强合作与交流。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5.4.承担风险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5.4.1保卫处将对保安服务质量进行全过程监控，中标人日常工作不到位、不达标、或有违约现象，将依据合同约定，作出相应的违约处理与处罚。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5.4.2学校每月对保安服务质量征求师生员工的意见，综合满意率必须达到85%以上，如低于85%，中标人必须进行整改；连续三个月综合满意率低于75%，校方有权解除合同，并处合同金额10%的违约金。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5.4.3保安人员在岗履行工作职责期间，发生自身的人身伤害、伤亡、病故，均由中标人负责处理并承担经济和道义上的责任，招标人不承担任何责任。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5.4.4服务单位违反国家相关法规，与聘用人员发生纠纷，均由该服务单位负责调解与处理，校方不承担责任。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5.4.5服务单位在保安服务中违反国家相关法规或保安行业规范，因过失造成他人人身伤亡的，均由服务单位负责处理并承担经济和道义上的责任，校方不承担任何责任。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5.4.6服务单位不履行职责，保护不力造成校方经济损失的，服务单位负责赔偿。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六、考核标准及考核办法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连云港师范学院保安服务考核办法</w:t>
      </w:r>
      <w:r/>
    </w:p>
    <w:p>
      <w:pPr>
        <w:ind w:left="-359"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1、考核细则</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1853"/>
        <w:gridCol w:w="670"/>
        <w:gridCol w:w="4286"/>
        <w:gridCol w:w="669"/>
        <w:gridCol w:w="670"/>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82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得分</w:t>
            </w:r>
            <w:r/>
          </w:p>
        </w:tc>
      </w:tr>
      <w:tr>
        <w:trPr>
          <w:trHeight w:val="2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执行学校校门治安管理规定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门卫24小时值班，有值班、交班记录（3分）；值班期间按要求着装，文明执勤、礼貌待人（2分）；执行门卫制度，维护区域秩序（2分）；执行物资出入制度（2分）；校门机动车出入，人员登记（1分）；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执行校园治安巡逻暂行规定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执行《高等学校校园安全秩序管理若干管理规定》和《校园治安巡逻暂行规定》（5分）；有巡逻值班记录，交班记录（2分）；按规定时间路线巡视校园，重点地段、文明执勤（2分）；及时出警维护校园治安秩序（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执行校园交通秩序管理管理规定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校园道路交通秩序管理（5分)；校园车辆管理措施落实，校园内部车辆无乱停乱放现象（5分）；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执行校园治安重点部位定点守护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执行校园内张贴广告（海报）等宣传品管理规定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及时、发现、清理校园违法小广告、宣传品（3分）；校园宣传活动管理、校园大型活动秩序维护(2分)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按月拟定、上报保卫工作计划和总结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按月拟定校区保安服务工作计划（2分）；总结上月工作并整改工作缺陷（1分）；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监控室（消防控制室）值班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监控室有值班记录，设备运行记录（2分）；及时通报校园安全情况（1分）；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每周召开工作例会，有记录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每周召开保安工作例会，分析、通报校园治安形势，有会议记录（2分）；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足额考勤管理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按合同要求考核保安在岗人数（2分）；保安出勤在岗工作情况（2分）；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发现问题及时制止，敢同违法犯罪分子作斗争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及时制止违法犯罪，敢于管理（2分）；发现校园存在的安全隐患并及时汇报（1分）；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师生代表按月评分考核，师生满意度≥85%，完成主管部门交办工作任务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每月邀请师生代表定期对当月保安工作情况进行测评（5分）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完成主管部门交办工作任务（25分）；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2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保安聘任、录用、离职等管理档案规范，手续齐全，相应资料必须报学校保卫处备案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劳务关系及社会保险处理符合法律规范并报保卫处备案（3分）聘用、派驻、更换保安手续齐全合法，报保卫处备案（2分）；按合同要求按比例配备保安、按校方要求及时调配保安（2分）；按国家规定为保安购买保险发放福利（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4" w:type="dxa"/>
            <w:vAlign w:val="top"/>
            <w:textDirection w:val="lrTb"/>
            <w:noWrap w:val="false"/>
          </w:tcPr>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78"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2、考核办法和考核说明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2.1．成绩划分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考核成绩≥95分为优秀，85分≤考核成绩&lt;90分为良好，85分为合格，低于85分为不合格。每月由学校保卫处汇总当月各次检查情况，得出考核综合得分。综合得分取当月每周检查的平均分值。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2.2．考核成绩公布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每次检查后，按标准评定成绩及时反馈人事处，每月由学校保卫处整理当月考核情况、成绩，在学校校园网上公布。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奖惩与经费挂钩。凡当月综合得分≥85分，达到合格的，则全额划拨上月服务费，达不到合格标准的，成绩每降低1分，划拨经费则降低1个百分点（以此类推），同时中标人必须进行整改；月考核综合得分如低于75分，学校有权解除合同，并处合同金额10%的违约金。其中，师生月考评分由保卫处每月利用问卷调查的方式，从保安的德、能、仪表、服务态度等方面邀请各学院、部门兼职保卫干部和学生代表对保安当月的服务质量征求师生员工代表的意见，调查所得出的综合满意率×所占分值（5分）作为该月师生月考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2.4.如师生对于保安服务质量综合满意率连续三个月低于75%，学校有权解除合同，并处以合同总金额的10%作为违约金。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中标人在合同期内，未履行责任和义务，造成采购人人员伤亡或公共财产，损失形成案件的，应承担相应违约责任，赔偿采购人由此引起的经济损失。具体由校保卫部门和公安机关认定的案件责任和经济损失确定中标人赔偿方法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在保安进入校园为我校提供校园保安服务之前，保安公司须将聘用保安的各类手续、身份证（复印件）、照片，健康证明等报保卫处备案。保卫处指定专人根据保安公司报送的月保安工作计划的安排对派驻我校的保安进行白班和晚班的定岗、定员考勤，考勤检查每周不少于三次，抽查不少于2次。以保证保安足额、满勤、符合合同要求，每次考核由保卫处2名工作人员参加，并作专项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学校为保安公司保安在岗位上正常履行职务工作提供法律上支持和协助。保安公司保安因维护学校生命财产受伤的费用应由保安公司提供的职业保险解决，采购人提供道义上的支持。保安公司保安在学校岗位上的工作视为保安公司向学校派出劳务，学校与保安公司派出的劳务工不存在劳务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2.8．根据</w:t>
      </w:r>
      <w:r>
        <w:rPr>
          <w:rFonts w:ascii="SimSun" w:hAnsi="SimSun" w:eastAsia="SimSun" w:cs="SimSun"/>
          <w:b/>
          <w:color w:val="000000"/>
          <w:sz w:val="24"/>
        </w:rPr>
        <w:t xml:space="preserve">江苏省安全文明校园</w:t>
      </w:r>
      <w:r>
        <w:rPr>
          <w:rFonts w:ascii="SimSun" w:hAnsi="SimSun" w:eastAsia="SimSun" w:cs="SimSun"/>
          <w:color w:val="000000"/>
          <w:sz w:val="24"/>
        </w:rPr>
        <w:t xml:space="preserve">考核要求，师生员工对校园内部的安全状况的满意率达85%以上；校内治安案件、火灾事故、道路交通事故等安全事故的发生率均控制在师生员工总人数千分之一以内；校内刑事案件发生率不超过师生员工总数的万分之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2.9．各类刑事、治安案件和重大事故、一般事故造成甲方人员伤亡或公共财产损失的，分类和责任认定工作由校保卫部门和公安机关具体认定的案件责任和经济损失，以确定中标人赔偿方法和金额。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2.10．保卫处对每一位派驻学校的保安进行逐月询问或登记的方式来确定保安公司是否为他们提供了国家要求的各项保险福利，并及时对保安公司进行反馈和督察，确保保安的合法权益不受损害。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七、付款方式与履约保证金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按月考核，根据考核结果按月度支付服务费。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中标供应商应当以支票、汇票、本票或者金融机构、担保机构出具的保函等非现金形式在合同签订前提交。履约保证金自合同生效之日起至合同约定的成交供应商主要义务履行完毕止，采购人按合同约定退还履约保证金。成交供应商违约的，采购人将按照合同约定扣除其全部或部分履约保证金。如成交供应商违约给采购人造成的损失超过履约保证金的，应当依法赔偿超过部分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包含管理人员和服务人员的工资、五险、福利、耗材、服装、税费、合理利润等费用。（工资及五险不能低于连云港市最低工资标准等规定）。如中标后遇到政策调整最低工资标准、社保基数等，中标价不予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九、安保装备要求：</w:t>
      </w:r>
      <w:r>
        <w:rPr>
          <w:rFonts w:ascii="SimSun" w:hAnsi="SimSun" w:eastAsia="SimSun" w:cs="SimSun"/>
          <w:color w:val="000000"/>
          <w:sz w:val="24"/>
        </w:rPr>
        <w:t xml:space="preserve">中标单位携以下设备进校完成安保任务。设备产权归中标单位所有。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2015"/>
        <w:gridCol w:w="751"/>
        <w:gridCol w:w="5133"/>
      </w:tblGrid>
      <w:tr>
        <w:trPr>
          <w:trHeight w:val="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基本参数</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四轮巡逻电动车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载客数：≤6人；外型尺寸(长×宽×高)：≤3650*1400*2030mm；整车整备质量：≤800kg；额定载重：≤550kg；</w:t>
            </w:r>
            <w:r/>
          </w:p>
        </w:tc>
      </w:tr>
      <w:tr>
        <w:trPr>
          <w:trHeight w:val="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两轮巡逻电动车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载客数2人；</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对讲机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符合公安部警用八件套标准。</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电动四轮消防车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3"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车消防性能符合国家关于电动消防车的技术要求；主要用于初期火灾的预防及救援，广泛用于微型消防站及社区，作为巡逻、消防等使用。主要参数：载液量：水1000kg；电机功率：不小于5KW；续航里程：不小于80KM。</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1.本项目报价不得超过预算金额。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2.特别提醒投标人：应根据国家收费标准并结合市场实际进行报价，总价包干。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3.工作中涉及的敏感资料、电子数据等相关信息，成交供应商应严格执行保密的相关规定，不得以任何方式向任何第三人披露、泄露或许可第三人使用，否则追究其相应法律责任。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Calibri" w:hAnsi="Calibri" w:eastAsia="Calibri" w:cs="Calibri"/>
          <w:color w:val="000000"/>
          <w:sz w:val="24"/>
        </w:rPr>
        <w:t xml:space="preserve">1</w:t>
      </w:r>
      <w:r>
        <w:rPr>
          <w:rFonts w:ascii="SimSun" w:hAnsi="SimSun" w:eastAsia="SimSun" w:cs="SimSun"/>
          <w:color w:val="000000"/>
          <w:sz w:val="24"/>
        </w:rPr>
        <w:t xml:space="preserve">名中标候选人。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1.价格分（30分）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2.技术分（28分）（暗标）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7404"/>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评审标准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投标人提供培训方案，内容包括但不限于人员能力培训、仪容仪表言行规范培训、安全培训、应急培训等。</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针对不同岗位的培训服务方案科学合理，人员能力培训形式多样化，仪容仪表言行规范培训详细全面，应急培训措施完善的，得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针对不同岗位的培训服务方案较科学合理，人员能力培训形式较多样化，仪容仪表言行规范培训较详细全面，应急培训措施较完善的，得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针对不同岗位的培训服务方案基本科学合理，人员能力培训形式一般，仪容仪表言行规范培训基本详细全面，应急培训措施基本完善性，得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针对不同岗位的培训服务方案科学合理性一般，人员能力培训形式单一，仪容仪表言行规范培训简单，应急培训措施简单的，得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投标人提供安保服务方案，内容包括但不限于安保服务、车辆管理、日常秩序维护方案等。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安保服务科学合理，车辆管理清晰有序，日常秩序维护方案完整详细的，得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安保服务较科学合理，车辆管理较清晰有序，日常秩序维护方案较完整详细的，得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安保服务基本科学合理，车辆管理基本清晰有序，日常秩序维护方案基本完整详细的，得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安保服务科学合理性较差，车辆管理较杂乱，日常秩序维护方案简略的，得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投标人提供应急处理方案，内容包括但不限于停水停电、火灾盗窃、公共事件、自然灾害、人员调配、物资供应等。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服务应急处置方案科学合理，应急事件人员调配可行性强，应急物资供应保障充分的，得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服务应急处置方案较科学合理，应急事件人员调配可行性较强，应急物资供应保障较充分的，得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服务应急处置方案科学合理性一般，应急事件人员调配可行性一般，应急物资供应保障基本充分的，得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服务应急处置方案简略粗糙，应急事件人员调配可行性较差，应急物资供应保障充分性较差的，得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管理制度方案（</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投标人提供管理制度方案，内容包括但不限于岗位职责管理制度、奖励处罚管理制度、考核测评制度等。</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岗位职责全面清晰，奖励处罚制度科学合理，考核测评制度完善严谨，得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岗位职责较全面清晰，奖励处罚制度较科学合理，考核测评制度较完善严谨，得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岗位职责基本全面清晰，奖励处罚制度基本科学合理，考核测评制度基本完善严谨，得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岗位职责简单粗糙，奖励处罚制度科学合理性一般，考核测评制度单一缺项，得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服务质量保障措施（</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投标人提供服务质量保障措施，内容包括但不仅限于服务质量保障措施、日常工作管理保障措施等。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服务管理措施满足项目需求，服务质量保障措施充足齐全，日常工作管理保障措施可实施性强的，得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服务管理措施较满足项目需求，服务质量保障措施较充足齐全，日常工作管理保障措施可实施性较强的，得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服务管理措施基本满足项目需求，服务质量保障措施基本充足齐全，日常工作管理保障措施可实施性一般的，得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服务管理措施偏离项目需求，服务质量保障措施简易且有缺项，日常工作管理保障措施可实施性一般的，得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（3）商务分（42分）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762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投标人自2023年1月1日(以合同签订日期为准)以来具有校园保安服务业绩的，每有一个得3分，最高得12分。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注:投标文件中提供完整合同及服务期内至少1个月服务发票扫描件并加盖公章，未提供不得分。</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企业自2023年1月1日以来（以证明出具时间为准）以来获得服务用户出具的满意或优秀评价证明，每提供一份得</w:t>
            </w:r>
            <w:r>
              <w:rPr>
                <w:rFonts w:ascii="Arial" w:hAnsi="Arial" w:eastAsia="Arial" w:cs="Arial"/>
                <w:color w:val="000000"/>
                <w:sz w:val="21"/>
              </w:rPr>
              <w:t xml:space="preserve">2</w:t>
            </w:r>
            <w:r>
              <w:rPr>
                <w:rFonts w:ascii="SimSun" w:hAnsi="SimSun" w:eastAsia="SimSun" w:cs="SimSun"/>
                <w:color w:val="000000"/>
                <w:sz w:val="21"/>
              </w:rPr>
              <w:t xml:space="preserve">分，本项最高得</w:t>
            </w:r>
            <w:r>
              <w:rPr>
                <w:rFonts w:ascii="Arial" w:hAnsi="Arial" w:eastAsia="Arial" w:cs="Arial"/>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Arial" w:hAnsi="Arial" w:eastAsia="Arial" w:cs="Arial"/>
                <w:b/>
                <w:color w:val="000000"/>
                <w:sz w:val="21"/>
              </w:rPr>
              <w:t xml:space="preserve">:</w:t>
            </w:r>
            <w:r>
              <w:rPr>
                <w:rFonts w:ascii="SimSun" w:hAnsi="SimSun" w:eastAsia="SimSun" w:cs="SimSun"/>
                <w:b/>
                <w:color w:val="000000"/>
                <w:sz w:val="21"/>
              </w:rPr>
              <w:t xml:space="preserve">投标文件中提供服务项目合同扫描件、被服务单位盖章的评价证明材料扫描件，证明材料须反映相关内容，否则不得分；同一服务单位不重复参与计分。</w:t>
            </w:r>
            <w:r/>
          </w:p>
        </w:tc>
      </w:tr>
      <w:tr>
        <w:trPr>
          <w:trHeight w:val="1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投标人提供有效期内的：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2、职业健康安全管理体系认证证书；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3、环境管理体系认证证书；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每提供一项证书得2分，本项最高得6分。提供有效证书原件扫描件及国家认证认可监督管理委员会官网（https：//www.cnca.gov.cn/）查询的截图并加盖投标人公章，否则不得分。</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1、拟派项目经理具有本科及以上学历的得1分；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2、拟派项目经理具有退伍军人证/退役军人优待证</w:t>
            </w:r>
            <w:r>
              <w:rPr>
                <w:rFonts w:ascii="SimSun" w:hAnsi="SimSun" w:eastAsia="SimSun" w:cs="SimSun"/>
                <w:b/>
                <w:color w:val="000000"/>
                <w:sz w:val="21"/>
              </w:rPr>
              <w:t xml:space="preserve">或</w:t>
            </w:r>
            <w:r>
              <w:rPr>
                <w:rFonts w:ascii="SimSun" w:hAnsi="SimSun" w:eastAsia="SimSun" w:cs="SimSun"/>
                <w:color w:val="000000"/>
                <w:sz w:val="21"/>
              </w:rPr>
              <w:t xml:space="preserve">消防设施操作员四级及以上证书</w:t>
            </w:r>
            <w:r>
              <w:rPr>
                <w:rFonts w:ascii="SimSun" w:hAnsi="SimSun" w:eastAsia="SimSun" w:cs="SimSun"/>
                <w:b/>
                <w:color w:val="000000"/>
                <w:sz w:val="21"/>
              </w:rPr>
              <w:t xml:space="preserve">或</w:t>
            </w:r>
            <w:r>
              <w:rPr>
                <w:rFonts w:ascii="SimSun" w:hAnsi="SimSun" w:eastAsia="SimSun" w:cs="SimSun"/>
                <w:color w:val="000000"/>
                <w:sz w:val="21"/>
              </w:rPr>
              <w:t xml:space="preserve">保卫管理员高级证书</w:t>
            </w:r>
            <w:r>
              <w:rPr>
                <w:rFonts w:ascii="SimSun" w:hAnsi="SimSun" w:eastAsia="SimSun" w:cs="SimSun"/>
                <w:b/>
                <w:color w:val="000000"/>
                <w:sz w:val="21"/>
              </w:rPr>
              <w:t xml:space="preserve">或</w:t>
            </w:r>
            <w:r>
              <w:rPr>
                <w:rFonts w:ascii="SimSun" w:hAnsi="SimSun" w:eastAsia="SimSun" w:cs="SimSun"/>
                <w:color w:val="000000"/>
                <w:sz w:val="21"/>
              </w:rPr>
              <w:t xml:space="preserve">保安员（高级/三级），每有一项证书得2分，本项最高得4分。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注：投标文件中提供相关证书扫描件和2026年1月（含）以来任意一个月由投标人为其缴纳的社保证明材料并加盖公章，否则不得分。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团队人员（项目经理除外）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1、拟派队员中每有1人具有高级保安员（三级）证书的得2分，本项最高得4分。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2、在满足智慧安防指挥中心6名队员的实质性要求基础上，其他成员（不含该6名）中每有1人具有消防设施操作员证四级及以上证书的得2分，本项最高得6分。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3、拟派队员中每有1人具备退伍军人证/退役军人优待证的得1分，本项最高得3分。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队员一人多证的不重复计取，仅计其中一项得分（按团队人员评分项总得分的最高分计取），投标文件中提供相关证书和2026年1月（含）以来任意一个月由投标人为其缴纳的社保证明材料并加盖公章，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注：本项目技术部分（</w:t>
      </w:r>
      <w:r>
        <w:rPr>
          <w:rFonts w:ascii="Calibri" w:hAnsi="Calibri" w:eastAsia="Calibri" w:cs="Calibri"/>
          <w:b/>
          <w:color w:val="000000"/>
          <w:sz w:val="24"/>
        </w:rPr>
        <w:t xml:space="preserve">28</w:t>
      </w:r>
      <w:r>
        <w:rPr>
          <w:rFonts w:ascii="SimSun" w:hAnsi="SimSun" w:eastAsia="SimSun" w:cs="SimSun"/>
          <w:b/>
          <w:color w:val="000000"/>
          <w:sz w:val="24"/>
        </w:rPr>
        <w:t xml:space="preserve">分）采用暗标方式评审。投标人编制技术方案时应严格遵守以下要求：</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技术方案不得编制页眉及目录。</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技术方案页面底色统一为白色，不得设置水印、底纹、背景颜色、背景图片、页面边框、装饰性图案或其他具有识别性的特殊版式。</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w:t>
      </w:r>
      <w:r>
        <w:rPr>
          <w:rFonts w:ascii="SimSun" w:hAnsi="SimSun" w:eastAsia="SimSun" w:cs="SimSun"/>
          <w:b/>
          <w:color w:val="000000"/>
          <w:sz w:val="24"/>
        </w:rPr>
        <w:t xml:space="preserve">技术方案正文及页码字体均统一采用四号宋体，不得使用加粗、下划线、斜体等特殊格式。</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技术方案中不得以任何直接或间接方式体现、暗示或泄露投标人身份，不得出现任何可能识别或推断投标人身份的信息，包括但不限于投标人名称、文字、符号、徽标、标识、标志、人员姓名以及投标人特有的企业标准、内部编号等。涉及相关人员的，应统一以职务或职称代替姓名。</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5.</w:t>
      </w:r>
      <w:r>
        <w:rPr>
          <w:rFonts w:ascii="SimSun" w:hAnsi="SimSun" w:eastAsia="SimSun" w:cs="SimSun"/>
          <w:b/>
          <w:color w:val="000000"/>
          <w:sz w:val="24"/>
        </w:rPr>
        <w:t xml:space="preserve">技术方案总页数不得超过</w:t>
      </w:r>
      <w:r>
        <w:rPr>
          <w:rFonts w:ascii="Calibri" w:hAnsi="Calibri" w:eastAsia="Calibri" w:cs="Calibri"/>
          <w:b/>
          <w:color w:val="000000"/>
          <w:sz w:val="24"/>
        </w:rPr>
        <w:t xml:space="preserve">120</w:t>
      </w:r>
      <w:r>
        <w:rPr>
          <w:rFonts w:ascii="SimSun" w:hAnsi="SimSun" w:eastAsia="SimSun" w:cs="SimSun"/>
          <w:b/>
          <w:color w:val="000000"/>
          <w:sz w:val="24"/>
        </w:rPr>
        <w:t xml:space="preserve">页。</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违反上述规定的，所有方案分得</w:t>
      </w:r>
      <w:r>
        <w:rPr>
          <w:rFonts w:ascii="Calibri" w:hAnsi="Calibri" w:eastAsia="Calibri" w:cs="Calibri"/>
          <w:b/>
          <w:color w:val="000000"/>
          <w:sz w:val="24"/>
        </w:rPr>
        <w:t xml:space="preserve">0</w:t>
      </w:r>
      <w:r>
        <w:rPr>
          <w:rFonts w:ascii="SimSun" w:hAnsi="SimSun" w:eastAsia="SimSun" w:cs="SimSun"/>
          <w:b/>
          <w:color w:val="000000"/>
          <w:sz w:val="24"/>
        </w:rPr>
        <w:t xml:space="preserve">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上传的“明标”材料中不得出现与技术分相关的内容，否则作无效标书处理。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投标文件中所提供的全部证明材料，评审结束后采购人有权进行核实，如有不实，将按照相关法律法规规定进行处理。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二、上一年度的财务状况报告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五、参加政府采购活动前</w:t>
      </w:r>
      <w:r>
        <w:rPr>
          <w:rFonts w:ascii="Arial" w:hAnsi="Arial" w:eastAsia="Arial" w:cs="Arial"/>
          <w:i/>
          <w:color w:val="000000"/>
          <w:sz w:val="36"/>
          <w:u w:val="single"/>
        </w:rPr>
        <w:t xml:space="preserve">3</w:t>
      </w:r>
      <w:r>
        <w:rPr>
          <w:rFonts w:ascii="SimSun" w:hAnsi="SimSun" w:eastAsia="SimSun" w:cs="SimSun"/>
          <w:i/>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48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、请供应商如实填写联系方式并在评审过程中保持联系方式畅通，评审过程中如联系不上，由供应商承担一切不利后果。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注：请供应商如实填写联系方式并在评审过程中保持联系方式畅通，评审过程中如联系不上，由供应商承担一切不利后果。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十一、中小企业声明函（服务）（分包号：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）采购活动，提供的服务全部由符合政策要求的中小企业承接。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3、本项目属性为服务，声明函中不对其中涉及的货物的承接商作出要求。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4、中标人的《中小企业声明函》随中标结果公开，接受社会监督。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自愿组成联合体，参加江苏万达工程造价事务所有限公司组织的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十四、投标分项报价表（分包号：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494"/>
        <w:gridCol w:w="1176"/>
        <w:gridCol w:w="839"/>
        <w:gridCol w:w="918"/>
        <w:gridCol w:w="1918"/>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十五、技术要求响应及偏离表（分包号：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2884"/>
        <w:gridCol w:w="2667"/>
        <w:gridCol w:w="12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十六、商务要求响应及偏离表（分包号：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1180"/>
        <w:gridCol w:w="1851"/>
        <w:gridCol w:w="990"/>
        <w:gridCol w:w="990"/>
        <w:gridCol w:w="13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十九、开标一览表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二十、承诺函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承诺函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连云港师范学院</w:t>
      </w:r>
      <w:r>
        <w:rPr>
          <w:rFonts w:ascii="Arial" w:hAnsi="Arial" w:eastAsia="Arial" w:cs="Arial"/>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、学校举办重大活动时，我公司将积极配合采购人做好安全保卫工作，根据活动需求确保保安人员配备到位。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、如因我公司原因造成重大事故，给学校造成损失及不良影响的，采购人有权解除合同，我公司将赔偿采购人所有的经济损失。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2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二十一、关于符合本国产品标准的声明函（分包号：**）本项目为服务类项目，不适用</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i/>
          <w:color w:val="000000"/>
          <w:sz w:val="22"/>
          <w:u w:val="single"/>
        </w:rPr>
        <w:t xml:space="preserve">（产品名称1）</w:t>
      </w:r>
      <w:r>
        <w:rPr>
          <w:rFonts w:ascii="SimSun" w:hAnsi="SimSun" w:eastAsia="SimSun" w:cs="SimSun"/>
          <w:i/>
          <w:color w:val="000000"/>
          <w:sz w:val="22"/>
          <w:u w:val="single"/>
          <w:vertAlign w:val="superscript"/>
        </w:rPr>
        <w:t xml:space="preserve">1</w:t>
      </w:r>
      <w:r>
        <w:rPr>
          <w:rFonts w:ascii="SimSun" w:hAnsi="SimSun" w:eastAsia="SimSun" w:cs="SimSun"/>
          <w:color w:val="000000"/>
          <w:sz w:val="22"/>
        </w:rPr>
        <w:t xml:space="preserve">, 生产厂为</w:t>
      </w:r>
      <w:r>
        <w:rPr>
          <w:rFonts w:ascii="SimSun" w:hAnsi="SimSun" w:eastAsia="SimSun" w:cs="SimSun"/>
          <w:i/>
          <w:color w:val="000000"/>
          <w:sz w:val="22"/>
          <w:u w:val="single"/>
        </w:rPr>
        <w:t xml:space="preserve">（厂名）</w:t>
      </w:r>
      <w:r>
        <w:rPr>
          <w:rFonts w:ascii="SimSun" w:hAnsi="SimSun" w:eastAsia="SimSun" w:cs="SimSun"/>
          <w:i/>
          <w:color w:val="000000"/>
          <w:sz w:val="22"/>
          <w:u w:val="single"/>
          <w:vertAlign w:val="superscript"/>
        </w:rPr>
        <w:t xml:space="preserve">2</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的中国境内生产的组件成本占比≥ </w:t>
      </w:r>
      <w:r>
        <w:rPr>
          <w:rFonts w:ascii="SimSun" w:hAnsi="SimSun" w:eastAsia="SimSun" w:cs="SimSun"/>
          <w:i/>
          <w:color w:val="000000"/>
          <w:sz w:val="22"/>
          <w:u w:val="single"/>
        </w:rPr>
        <w:t xml:space="preserve">（规定比例）</w:t>
      </w:r>
      <w:r>
        <w:rPr>
          <w:rFonts w:ascii="SimSun" w:hAnsi="SimSun" w:eastAsia="SimSun" w:cs="SimSun"/>
          <w:i/>
          <w:color w:val="000000"/>
          <w:sz w:val="22"/>
          <w:u w:val="single"/>
          <w:vertAlign w:val="superscript"/>
        </w:rPr>
        <w:t xml:space="preserve">3</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i/>
          <w:color w:val="000000"/>
          <w:sz w:val="22"/>
          <w:u w:val="single"/>
          <w:vertAlign w:val="superscript"/>
        </w:rPr>
        <w:t xml:space="preserve">4</w:t>
      </w:r>
      <w:r>
        <w:rPr>
          <w:rFonts w:ascii="SimSun" w:hAnsi="SimSun" w:eastAsia="SimSun" w:cs="SimSun"/>
          <w:color w:val="000000"/>
          <w:sz w:val="22"/>
        </w:rPr>
        <w:t xml:space="preserve"> 在中国境内生产。</w:t>
      </w:r>
      <w:r>
        <w:rPr>
          <w:rFonts w:ascii="SimSun" w:hAnsi="SimSun" w:eastAsia="SimSun" w:cs="SimSun"/>
          <w:i/>
          <w:color w:val="000000"/>
          <w:sz w:val="22"/>
          <w:u w:val="single"/>
        </w:rPr>
        <w:t xml:space="preserve">(产品名称1)</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i/>
          <w:color w:val="000000"/>
          <w:sz w:val="22"/>
          <w:u w:val="single"/>
          <w:vertAlign w:val="superscript"/>
        </w:rPr>
        <w:t xml:space="preserve">5</w:t>
      </w:r>
      <w:r>
        <w:rPr>
          <w:rFonts w:ascii="SimSun" w:hAnsi="SimSun" w:eastAsia="SimSun" w:cs="SimSun"/>
          <w:color w:val="000000"/>
          <w:sz w:val="22"/>
        </w:rPr>
        <w:t xml:space="preserve"> 在中国境内完成。</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（产品名称2） </w:t>
      </w:r>
      <w:r>
        <w:rPr>
          <w:rFonts w:ascii="SimSun" w:hAnsi="SimSun" w:eastAsia="SimSun" w:cs="SimSun"/>
          <w:color w:val="000000"/>
          <w:sz w:val="22"/>
        </w:rPr>
        <w:t xml:space="preserve">,生产厂为</w:t>
      </w:r>
      <w:r>
        <w:rPr>
          <w:rFonts w:ascii="SimSun" w:hAnsi="SimSun" w:eastAsia="SimSun" w:cs="SimSun"/>
          <w:i/>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i/>
          <w:color w:val="000000"/>
          <w:sz w:val="22"/>
          <w:u w:val="single"/>
        </w:rPr>
        <w:t xml:space="preserve">（规定比例）</w:t>
      </w:r>
      <w:r>
        <w:rPr>
          <w:rFonts w:ascii="SimSun" w:hAnsi="SimSun" w:eastAsia="SimSun" w:cs="SimSun"/>
          <w:i/>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color w:val="000000"/>
          <w:sz w:val="22"/>
        </w:rPr>
        <w:t xml:space="preserve">在中国境内生产。</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color w:val="000000"/>
          <w:sz w:val="22"/>
        </w:rPr>
        <w:t xml:space="preserve">在中国境内完成。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1620" w:firstLine="28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1140" w:firstLine="28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6.用线划除的地方无需填写。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9.中标人的《声明函》或有关证明文件随中标结果公开，接受社会监督。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MS Mincho">
    <w:panose1 w:val="02020603050405090304"/>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1</cp:revision>
  <dcterms:created xsi:type="dcterms:W3CDTF">2026-09-03T05:36:04Z</dcterms:created>
  <dcterms:modified xsi:type="dcterms:W3CDTF">2026-09-03T06:03:33Z</dcterms:modified>
</cp:coreProperties>
</file>